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37" w:type="dxa"/>
        <w:tblLook w:val="04A0" w:firstRow="1" w:lastRow="0" w:firstColumn="1" w:lastColumn="0" w:noHBand="0" w:noVBand="1"/>
      </w:tblPr>
      <w:tblGrid>
        <w:gridCol w:w="2834"/>
        <w:gridCol w:w="6238"/>
      </w:tblGrid>
      <w:tr w:rsidR="00A16D23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 w:rsidP="00A16D23">
            <w:r>
              <w:t xml:space="preserve">Masterarbeit/Bachelorarbeit </w:t>
            </w:r>
          </w:p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Titel des Themas: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6D23" w:rsidRPr="00A16D23" w:rsidRDefault="00DA27AC">
            <w:pPr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3</w:t>
            </w:r>
            <w:bookmarkStart w:id="0" w:name="_GoBack"/>
            <w:bookmarkEnd w:id="0"/>
          </w:p>
          <w:p w:rsidR="00A16D23" w:rsidRDefault="00A16D23">
            <w:pPr>
              <w:rPr>
                <w:rFonts w:ascii="Verdana" w:eastAsia="Times New Roman" w:hAnsi="Verdana"/>
                <w:b/>
                <w:bCs/>
                <w:color w:val="CC6600"/>
              </w:rPr>
            </w:pPr>
          </w:p>
          <w:p w:rsidR="000F55D3" w:rsidRDefault="000F55D3">
            <w:pPr>
              <w:rPr>
                <w:rFonts w:ascii="Verdana" w:eastAsia="Times New Roman" w:hAnsi="Verdana"/>
                <w:b/>
                <w:bCs/>
                <w:color w:val="CC6600"/>
              </w:rPr>
            </w:pPr>
            <w:r>
              <w:rPr>
                <w:rFonts w:ascii="Verdana" w:eastAsia="Times New Roman" w:hAnsi="Verdana"/>
                <w:b/>
                <w:bCs/>
                <w:color w:val="CC6600"/>
              </w:rPr>
              <w:t xml:space="preserve">Wirkungsmechanismus des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C6600"/>
              </w:rPr>
              <w:t>porcinen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CC660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C6600"/>
              </w:rPr>
              <w:t>Cytomegalovirus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CC6600"/>
              </w:rPr>
              <w:t xml:space="preserve"> (PCMV)</w:t>
            </w:r>
            <w:r w:rsidR="00112233">
              <w:rPr>
                <w:rFonts w:ascii="Verdana" w:eastAsia="Times New Roman" w:hAnsi="Verdana"/>
                <w:b/>
                <w:bCs/>
                <w:color w:val="CC6600"/>
              </w:rPr>
              <w:t xml:space="preserve"> bei der </w:t>
            </w:r>
            <w:proofErr w:type="spellStart"/>
            <w:r w:rsidR="00112233">
              <w:rPr>
                <w:rFonts w:ascii="Verdana" w:eastAsia="Times New Roman" w:hAnsi="Verdana"/>
                <w:b/>
                <w:bCs/>
                <w:color w:val="CC6600"/>
              </w:rPr>
              <w:t>Xenotransplanta</w:t>
            </w:r>
            <w:r w:rsidR="00386069">
              <w:rPr>
                <w:rFonts w:ascii="Verdana" w:eastAsia="Times New Roman" w:hAnsi="Verdana"/>
                <w:b/>
                <w:bCs/>
                <w:color w:val="CC6600"/>
              </w:rPr>
              <w:t>t</w:t>
            </w:r>
            <w:r w:rsidR="00112233">
              <w:rPr>
                <w:rFonts w:ascii="Verdana" w:eastAsia="Times New Roman" w:hAnsi="Verdana"/>
                <w:b/>
                <w:bCs/>
                <w:color w:val="CC6600"/>
              </w:rPr>
              <w:t>abstoßung</w:t>
            </w:r>
            <w:proofErr w:type="spellEnd"/>
          </w:p>
        </w:tc>
      </w:tr>
      <w:tr w:rsidR="00A16D23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Institut: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Institut für Virologie der FU Berlin</w:t>
            </w:r>
          </w:p>
        </w:tc>
      </w:tr>
      <w:tr w:rsidR="00A16D23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Name: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rer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. nat. Joachim Denner</w:t>
            </w:r>
            <w:r w:rsidR="006A59BB">
              <w:rPr>
                <w:rFonts w:ascii="Verdana" w:eastAsia="Times New Roman" w:hAnsi="Verdana"/>
                <w:sz w:val="18"/>
                <w:szCs w:val="18"/>
              </w:rPr>
              <w:t>, Prof. Dr. Benedikt Kaufer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A16D23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Email</w:t>
            </w:r>
            <w:proofErr w:type="spellEnd"/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 Kontakt: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DA27AC">
            <w:pPr>
              <w:rPr>
                <w:rFonts w:ascii="Verdana" w:eastAsia="Times New Roman" w:hAnsi="Verdana"/>
                <w:sz w:val="18"/>
                <w:szCs w:val="18"/>
              </w:rPr>
            </w:pPr>
            <w:hyperlink r:id="rId4" w:history="1">
              <w:r w:rsidR="00A16D23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Joachim.Denner@fu-berlin.de</w:t>
              </w:r>
            </w:hyperlink>
            <w:r w:rsidR="006A59BB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 w:rsidR="006A59BB" w:rsidRPr="006A59BB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>b.kaufer@fu-berlin.de</w:t>
            </w:r>
            <w:r w:rsidR="00A16D23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A16D23" w:rsidRPr="004F7232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Beschreibung: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233" w:rsidRPr="004F7232" w:rsidRDefault="000F55D3" w:rsidP="006A59BB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PCMV ist ein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porcines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Roseolovirus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(PCMV/PRV)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 xml:space="preserve">[1] 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>und eng verwandt mit dem humanen</w:t>
            </w:r>
            <w:r w:rsidR="00383947">
              <w:rPr>
                <w:rFonts w:ascii="Verdana" w:eastAsia="Times New Roman" w:hAnsi="Verdana"/>
                <w:sz w:val="18"/>
                <w:szCs w:val="18"/>
              </w:rPr>
              <w:t xml:space="preserve"> Herpesvirus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 HHV-6, es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ist weit verbreitet in der Schweinepopulation. Bei Untersuchungen zur Virussicherheit der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Xenotransplantation</w:t>
            </w:r>
            <w:proofErr w:type="spellEnd"/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 konnte gezeigt werden, dass PCMV/PRV die Überlebenszeit </w:t>
            </w:r>
            <w:proofErr w:type="spellStart"/>
            <w:r w:rsidR="00112233">
              <w:rPr>
                <w:rFonts w:ascii="Verdana" w:eastAsia="Times New Roman" w:hAnsi="Verdana"/>
                <w:sz w:val="18"/>
                <w:szCs w:val="18"/>
              </w:rPr>
              <w:t>orthotop</w:t>
            </w:r>
            <w:proofErr w:type="spellEnd"/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 in Paviane transplantierter Schweineherzen von 195 Tagen auf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 xml:space="preserve"> weniger als 30 Tage verkürzt [2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>]. Ähnliche Reduktionen der Überlebenszeiten von Schweineher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>z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en und -nieren konnte auch bei </w:t>
            </w:r>
            <w:proofErr w:type="spellStart"/>
            <w:r w:rsidR="00112233">
              <w:rPr>
                <w:rFonts w:ascii="Verdana" w:eastAsia="Times New Roman" w:hAnsi="Verdana"/>
                <w:sz w:val="18"/>
                <w:szCs w:val="18"/>
              </w:rPr>
              <w:t>Xenotransplantationen</w:t>
            </w:r>
            <w:proofErr w:type="spellEnd"/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 mit anderen nicht-humanen Primaten beoba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>chtet werden (Übersicht siehe [3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>]). In den betroffenen Pavianen wurden PCMV/PRV-</w:t>
            </w:r>
            <w:proofErr w:type="spellStart"/>
            <w:r w:rsidR="00112233">
              <w:rPr>
                <w:rFonts w:ascii="Verdana" w:eastAsia="Times New Roman" w:hAnsi="Verdana"/>
                <w:sz w:val="18"/>
                <w:szCs w:val="18"/>
              </w:rPr>
              <w:t>exprimierende</w:t>
            </w:r>
            <w:proofErr w:type="spellEnd"/>
            <w:r w:rsidR="00112233">
              <w:rPr>
                <w:rFonts w:ascii="Verdana" w:eastAsia="Times New Roman" w:hAnsi="Verdana"/>
                <w:sz w:val="18"/>
                <w:szCs w:val="18"/>
              </w:rPr>
              <w:t xml:space="preserve"> Zellen in allen Org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>anen gefunden [4</w:t>
            </w:r>
            <w:r w:rsidR="00112233">
              <w:rPr>
                <w:rFonts w:ascii="Verdana" w:eastAsia="Times New Roman" w:hAnsi="Verdana"/>
                <w:sz w:val="18"/>
                <w:szCs w:val="18"/>
              </w:rPr>
              <w:t>], allerdings ist unklar, ob das verstreute Schweinzellen oder infizierte Pavianzellen sind.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860047" w:rsidRPr="00860047">
              <w:rPr>
                <w:rFonts w:ascii="Verdana" w:eastAsia="Times New Roman" w:hAnsi="Verdana"/>
                <w:sz w:val="18"/>
                <w:szCs w:val="18"/>
              </w:rPr>
              <w:t>In den betroffenen</w:t>
            </w:r>
            <w:r w:rsidR="00383947">
              <w:rPr>
                <w:rFonts w:ascii="Verdana" w:eastAsia="Times New Roman" w:hAnsi="Verdana"/>
                <w:sz w:val="18"/>
                <w:szCs w:val="18"/>
              </w:rPr>
              <w:t xml:space="preserve"> transplant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>ierten</w:t>
            </w:r>
            <w:r w:rsidR="00860047" w:rsidRPr="00860047">
              <w:rPr>
                <w:rFonts w:ascii="Verdana" w:eastAsia="Times New Roman" w:hAnsi="Verdana"/>
                <w:sz w:val="18"/>
                <w:szCs w:val="18"/>
              </w:rPr>
              <w:t xml:space="preserve"> Pavianen wurden erhöhte Konzentrationen von 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>IL-6 u</w:t>
            </w:r>
            <w:r w:rsidR="00860047" w:rsidRPr="00860047">
              <w:rPr>
                <w:rFonts w:ascii="Verdana" w:eastAsia="Times New Roman" w:hAnsi="Verdana"/>
                <w:sz w:val="18"/>
                <w:szCs w:val="18"/>
              </w:rPr>
              <w:t xml:space="preserve">nd TNFα 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 xml:space="preserve">sowie hohe Werte von tPA-PAI-1 </w:t>
            </w:r>
            <w:r w:rsidR="00D6730F">
              <w:rPr>
                <w:rFonts w:ascii="Verdana" w:eastAsia="Times New Roman" w:hAnsi="Verdana"/>
                <w:sz w:val="18"/>
                <w:szCs w:val="18"/>
              </w:rPr>
              <w:t>(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>tissue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>plasminogen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>activator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6730F">
              <w:rPr>
                <w:rFonts w:ascii="Verdana" w:eastAsia="Times New Roman" w:hAnsi="Verdana"/>
                <w:sz w:val="18"/>
                <w:szCs w:val="18"/>
              </w:rPr>
              <w:t xml:space="preserve">- 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>plasminogen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>activator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>inhibitor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</w:rPr>
              <w:t xml:space="preserve"> 1</w:t>
            </w:r>
            <w:r w:rsidR="00D6730F">
              <w:rPr>
                <w:rFonts w:ascii="Verdana" w:eastAsia="Times New Roman" w:hAnsi="Verdana"/>
                <w:sz w:val="18"/>
                <w:szCs w:val="18"/>
              </w:rPr>
              <w:t xml:space="preserve">) 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 xml:space="preserve">Komplexen gefunden. </w:t>
            </w:r>
            <w:r w:rsidR="00860047" w:rsidRPr="00860047">
              <w:rPr>
                <w:rFonts w:ascii="Verdana" w:eastAsia="Times New Roman" w:hAnsi="Verdana"/>
                <w:sz w:val="18"/>
                <w:szCs w:val="18"/>
              </w:rPr>
              <w:t>Letztere suggerieren den Totalverlust der pro-</w:t>
            </w:r>
            <w:proofErr w:type="spellStart"/>
            <w:r w:rsidR="00860047" w:rsidRPr="00860047">
              <w:rPr>
                <w:rFonts w:ascii="Verdana" w:eastAsia="Times New Roman" w:hAnsi="Verdana"/>
                <w:sz w:val="18"/>
                <w:szCs w:val="18"/>
              </w:rPr>
              <w:t>fibronolytischen</w:t>
            </w:r>
            <w:proofErr w:type="spellEnd"/>
            <w:r w:rsidR="00860047" w:rsidRPr="00860047">
              <w:rPr>
                <w:rFonts w:ascii="Verdana" w:eastAsia="Times New Roman" w:hAnsi="Verdana"/>
                <w:sz w:val="18"/>
                <w:szCs w:val="18"/>
              </w:rPr>
              <w:t xml:space="preserve"> E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>ig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>enschaften der Endothelzellen [2</w:t>
            </w:r>
            <w:r w:rsidR="00860047">
              <w:rPr>
                <w:rFonts w:ascii="Verdana" w:eastAsia="Times New Roman" w:hAnsi="Verdana"/>
                <w:sz w:val="18"/>
                <w:szCs w:val="18"/>
              </w:rPr>
              <w:t xml:space="preserve">]. </w:t>
            </w:r>
            <w:r w:rsidR="00D6730F">
              <w:rPr>
                <w:rFonts w:ascii="Verdana" w:eastAsia="Times New Roman" w:hAnsi="Verdana"/>
                <w:sz w:val="18"/>
                <w:szCs w:val="18"/>
              </w:rPr>
              <w:t xml:space="preserve">Wenn PCMV/PRV die Zellen des Pavians nicht infiziert, muss die Modifikation der </w:t>
            </w:r>
            <w:proofErr w:type="spellStart"/>
            <w:r w:rsidR="00D6730F">
              <w:rPr>
                <w:rFonts w:ascii="Verdana" w:eastAsia="Times New Roman" w:hAnsi="Verdana"/>
                <w:sz w:val="18"/>
                <w:szCs w:val="18"/>
              </w:rPr>
              <w:t>Zytokinexpression</w:t>
            </w:r>
            <w:proofErr w:type="spellEnd"/>
            <w:r w:rsidR="00D6730F">
              <w:rPr>
                <w:rFonts w:ascii="Verdana" w:eastAsia="Times New Roman" w:hAnsi="Verdana"/>
                <w:sz w:val="18"/>
                <w:szCs w:val="18"/>
              </w:rPr>
              <w:t xml:space="preserve"> durch eine direkte Interaktion von PCMV/PRV-Proteinen mit dem Immunsystem erfolgen, ähnlich wie b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>ei den Retroviren beschrieben [5</w:t>
            </w:r>
            <w:r w:rsidR="00D6730F">
              <w:rPr>
                <w:rFonts w:ascii="Verdana" w:eastAsia="Times New Roman" w:hAnsi="Verdana"/>
                <w:sz w:val="18"/>
                <w:szCs w:val="18"/>
              </w:rPr>
              <w:t xml:space="preserve">]. </w:t>
            </w:r>
            <w:r w:rsidR="00D2523B">
              <w:rPr>
                <w:rFonts w:ascii="Verdana" w:eastAsia="Times New Roman" w:hAnsi="Verdana"/>
                <w:sz w:val="18"/>
                <w:szCs w:val="18"/>
              </w:rPr>
              <w:t xml:space="preserve">Hier soll der </w:t>
            </w:r>
            <w:proofErr w:type="spellStart"/>
            <w:r w:rsidR="00D2523B">
              <w:rPr>
                <w:rFonts w:ascii="Verdana" w:eastAsia="Times New Roman" w:hAnsi="Verdana"/>
                <w:sz w:val="18"/>
                <w:szCs w:val="18"/>
              </w:rPr>
              <w:t>Einfluß</w:t>
            </w:r>
            <w:proofErr w:type="spellEnd"/>
            <w:r w:rsidR="00D2523B">
              <w:rPr>
                <w:rFonts w:ascii="Verdana" w:eastAsia="Times New Roman" w:hAnsi="Verdana"/>
                <w:sz w:val="18"/>
                <w:szCs w:val="18"/>
              </w:rPr>
              <w:t xml:space="preserve"> gereinigter PCMV/PRV-Partikel und rekombinanter PCMV/PRV-Proteine auf die </w:t>
            </w:r>
            <w:proofErr w:type="spellStart"/>
            <w:r w:rsidR="00D2523B">
              <w:rPr>
                <w:rFonts w:ascii="Verdana" w:eastAsia="Times New Roman" w:hAnsi="Verdana"/>
                <w:sz w:val="18"/>
                <w:szCs w:val="18"/>
              </w:rPr>
              <w:t>Zytokin</w:t>
            </w:r>
            <w:proofErr w:type="spellEnd"/>
            <w:r w:rsidR="00D2523B">
              <w:rPr>
                <w:rFonts w:ascii="Verdana" w:eastAsia="Times New Roman" w:hAnsi="Verdana"/>
                <w:sz w:val="18"/>
                <w:szCs w:val="18"/>
              </w:rPr>
              <w:t xml:space="preserve">- und Genexpression </w:t>
            </w:r>
            <w:r w:rsidR="004F7232">
              <w:rPr>
                <w:rFonts w:ascii="Verdana" w:eastAsia="Times New Roman" w:hAnsi="Verdana"/>
                <w:sz w:val="18"/>
                <w:szCs w:val="18"/>
              </w:rPr>
              <w:t xml:space="preserve">humaner und Pavian-Zellen </w:t>
            </w:r>
            <w:r w:rsidR="00D2523B">
              <w:rPr>
                <w:rFonts w:ascii="Verdana" w:eastAsia="Times New Roman" w:hAnsi="Verdana"/>
                <w:sz w:val="18"/>
                <w:szCs w:val="18"/>
              </w:rPr>
              <w:t>untersucht werden</w:t>
            </w:r>
            <w:r w:rsidR="004F7232">
              <w:rPr>
                <w:rFonts w:ascii="Verdana" w:eastAsia="Times New Roman" w:hAnsi="Verdana"/>
                <w:sz w:val="18"/>
                <w:szCs w:val="18"/>
              </w:rPr>
              <w:t>.</w:t>
            </w:r>
            <w:r w:rsidR="00D2523B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A16D23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Methoden: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Default="004F7232" w:rsidP="00A16D23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Die PCMV/PRV-Partikel werden mittels Dichtegradient</w:t>
            </w:r>
            <w:r w:rsidR="006A59BB">
              <w:rPr>
                <w:rFonts w:ascii="Verdana" w:eastAsia="Times New Roman" w:hAnsi="Verdana"/>
                <w:sz w:val="18"/>
                <w:szCs w:val="18"/>
              </w:rPr>
              <w:t>-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zentrifugation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aus dem Überstand virusproduzierender Zellen gereinigt, die rekombinanten Hüllproteine werden kloniert und in eukaryotischen Zellen exprimiert. Nach Ko-Inkubation dieser Zellen mit Immunzellen vom Mensch und Pavian wird deren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Zytokinexpression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mittels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Zytokinarrays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und RNA-Sequenzierung untersucht.</w:t>
            </w:r>
          </w:p>
        </w:tc>
      </w:tr>
      <w:tr w:rsidR="00A16D23" w:rsidRPr="00DC0C6B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59BB" w:rsidRDefault="006A59BB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A16D23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>Papers:</w:t>
            </w: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0C6B" w:rsidRPr="00386069" w:rsidRDefault="00A16D23" w:rsidP="00DC0C6B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6A59BB">
              <w:rPr>
                <w:rFonts w:ascii="Verdana" w:eastAsia="Times New Roman" w:hAnsi="Verdana"/>
                <w:sz w:val="18"/>
                <w:szCs w:val="18"/>
              </w:rPr>
              <w:br/>
            </w:r>
            <w:r w:rsidR="00860047" w:rsidRPr="006A59BB">
              <w:rPr>
                <w:rFonts w:ascii="Verdana" w:eastAsia="Times New Roman" w:hAnsi="Verdana"/>
                <w:sz w:val="18"/>
                <w:szCs w:val="18"/>
              </w:rPr>
              <w:t xml:space="preserve">1. </w:t>
            </w:r>
            <w:r w:rsidR="00DC0C6B" w:rsidRPr="00DC0C6B">
              <w:rPr>
                <w:rFonts w:ascii="Verdana" w:eastAsia="Times New Roman" w:hAnsi="Verdana"/>
                <w:sz w:val="18"/>
                <w:szCs w:val="18"/>
              </w:rPr>
              <w:t xml:space="preserve">Denner J, </w:t>
            </w:r>
            <w:proofErr w:type="spellStart"/>
            <w:r w:rsidR="00DC0C6B" w:rsidRPr="00DC0C6B">
              <w:rPr>
                <w:rFonts w:ascii="Verdana" w:eastAsia="Times New Roman" w:hAnsi="Verdana"/>
                <w:sz w:val="18"/>
                <w:szCs w:val="18"/>
              </w:rPr>
              <w:t>Bigley</w:t>
            </w:r>
            <w:proofErr w:type="spellEnd"/>
            <w:r w:rsidR="00DC0C6B" w:rsidRPr="00DC0C6B">
              <w:rPr>
                <w:rFonts w:ascii="Verdana" w:eastAsia="Times New Roman" w:hAnsi="Verdana"/>
                <w:sz w:val="18"/>
                <w:szCs w:val="18"/>
              </w:rPr>
              <w:t xml:space="preserve"> TM, Phan TL, Zimmermann C, Zhou X, Kaufer BB.</w:t>
            </w:r>
            <w:r w:rsidR="00DC0C6B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C0C6B" w:rsidRPr="00DC0C6B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Comparative Analysis of </w:t>
            </w:r>
            <w:proofErr w:type="spellStart"/>
            <w:r w:rsidR="00DC0C6B" w:rsidRPr="00DC0C6B">
              <w:rPr>
                <w:rFonts w:ascii="Verdana" w:eastAsia="Times New Roman" w:hAnsi="Verdana"/>
                <w:sz w:val="18"/>
                <w:szCs w:val="18"/>
                <w:lang w:val="en-US"/>
              </w:rPr>
              <w:t>Roseoloviruses</w:t>
            </w:r>
            <w:proofErr w:type="spellEnd"/>
            <w:r w:rsidR="00DC0C6B" w:rsidRPr="00DC0C6B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in Humans, Pigs, Mice, and Other Species. </w:t>
            </w:r>
            <w:r w:rsidR="00DC0C6B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Viruses. 2019 Nov 30</w:t>
            </w:r>
            <w:proofErr w:type="gramStart"/>
            <w:r w:rsidR="00DC0C6B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;11</w:t>
            </w:r>
            <w:proofErr w:type="gramEnd"/>
            <w:r w:rsidR="00DC0C6B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(12):1108.</w:t>
            </w:r>
          </w:p>
          <w:p w:rsidR="00DC0C6B" w:rsidRPr="00386069" w:rsidRDefault="00DC0C6B" w:rsidP="00DC0C6B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  <w:p w:rsidR="00A16D23" w:rsidRDefault="00DC0C6B" w:rsidP="00DC0C6B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2. </w:t>
            </w:r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Denner J, Längin M, Reichart B,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Krüger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L, Fiebig U, Mokelke M, Radan J,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Mayr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T,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Milusev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A, Luther F,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Sorvillo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N,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Rieben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R, Brenner P,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Walz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C, Wolf E, </w:t>
            </w:r>
            <w:proofErr w:type="spellStart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>Roshani</w:t>
            </w:r>
            <w:proofErr w:type="spellEnd"/>
            <w:r w:rsidR="00A16D23" w:rsidRPr="00386069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B, Stahl-Hennig C, Abicht JM. </w:t>
            </w:r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Impact of porcine cytomegalovirus on long-term </w:t>
            </w:r>
            <w:proofErr w:type="spell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orthotopic</w:t>
            </w:r>
            <w:proofErr w:type="spell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cardiac </w:t>
            </w:r>
            <w:proofErr w:type="spell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xenotransplant</w:t>
            </w:r>
            <w:proofErr w:type="spell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survival. </w:t>
            </w:r>
            <w:proofErr w:type="spell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Sci</w:t>
            </w:r>
            <w:proofErr w:type="spell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Rep. 2020 Oct 16;10(1):17531</w:t>
            </w:r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br/>
            </w:r>
          </w:p>
          <w:p w:rsidR="00860047" w:rsidRDefault="00DC0C6B" w:rsidP="00860047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/>
              </w:rPr>
              <w:t>3</w:t>
            </w:r>
            <w:r w:rsid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. </w:t>
            </w:r>
            <w:r w:rsidR="00860047" w:rsidRP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Denner J. Reduction of the survival time of pig </w:t>
            </w:r>
            <w:proofErr w:type="spellStart"/>
            <w:r w:rsidR="00860047" w:rsidRP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>xenotranspla</w:t>
            </w:r>
            <w:r w:rsid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>nts</w:t>
            </w:r>
            <w:proofErr w:type="spellEnd"/>
            <w:r w:rsid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by porcine cytomegalovirus. </w:t>
            </w:r>
            <w:proofErr w:type="spellStart"/>
            <w:r w:rsidR="00860047" w:rsidRP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>Virol</w:t>
            </w:r>
            <w:proofErr w:type="spellEnd"/>
            <w:r w:rsidR="00860047" w:rsidRP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J. 2018 Nov 8;15(1):171</w:t>
            </w:r>
          </w:p>
          <w:p w:rsidR="00860047" w:rsidRDefault="00860047" w:rsidP="00860047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  <w:p w:rsidR="00D6730F" w:rsidRDefault="00DC0C6B" w:rsidP="00860047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/>
              </w:rPr>
              <w:t>4</w:t>
            </w:r>
            <w:r w:rsidR="00860047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. </w:t>
            </w:r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Fiebig U, Abicht JM, </w:t>
            </w:r>
            <w:proofErr w:type="spell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Mayr</w:t>
            </w:r>
            <w:proofErr w:type="spell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T, Längin M, Bähr A, </w:t>
            </w:r>
            <w:proofErr w:type="spell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Guethoff</w:t>
            </w:r>
            <w:proofErr w:type="spell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S, </w:t>
            </w:r>
            <w:proofErr w:type="spell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Falkenau</w:t>
            </w:r>
            <w:proofErr w:type="spell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A, Wolf E, Reichart B, Shibahara T, Denner J. Distribution of Porcine Cytomegalovirus in Infected Donor Pigs and in Baboon Recipients of Pig Heart Transplantation. Viruses. 2018 Feb 6</w:t>
            </w:r>
            <w:proofErr w:type="gramStart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;10</w:t>
            </w:r>
            <w:proofErr w:type="gramEnd"/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t>(2):66.</w:t>
            </w:r>
          </w:p>
          <w:p w:rsidR="00D6730F" w:rsidRDefault="00D6730F" w:rsidP="00860047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  <w:p w:rsidR="00A16D23" w:rsidRDefault="00DC0C6B" w:rsidP="00860047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/>
              </w:rPr>
              <w:lastRenderedPageBreak/>
              <w:t>5</w:t>
            </w:r>
            <w:r w:rsidR="00D6730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. </w:t>
            </w:r>
            <w:r w:rsidR="00D6730F" w:rsidRPr="00D6730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Denner J. The transmembrane proteins contribute to </w:t>
            </w:r>
            <w:proofErr w:type="spellStart"/>
            <w:r w:rsidR="00D6730F" w:rsidRPr="00D6730F">
              <w:rPr>
                <w:rFonts w:ascii="Verdana" w:eastAsia="Times New Roman" w:hAnsi="Verdana"/>
                <w:sz w:val="18"/>
                <w:szCs w:val="18"/>
                <w:lang w:val="en-US"/>
              </w:rPr>
              <w:t>immunodeficiencies</w:t>
            </w:r>
            <w:proofErr w:type="spellEnd"/>
            <w:r w:rsidR="00D6730F" w:rsidRPr="00D6730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induced by HIV-1 and other retroviruses. AIDS. 2014 May 15</w:t>
            </w:r>
            <w:proofErr w:type="gramStart"/>
            <w:r w:rsidR="00D6730F" w:rsidRPr="00D6730F">
              <w:rPr>
                <w:rFonts w:ascii="Verdana" w:eastAsia="Times New Roman" w:hAnsi="Verdana"/>
                <w:sz w:val="18"/>
                <w:szCs w:val="18"/>
                <w:lang w:val="en-US"/>
              </w:rPr>
              <w:t>;28</w:t>
            </w:r>
            <w:proofErr w:type="gramEnd"/>
            <w:r w:rsidR="00D6730F" w:rsidRPr="00D6730F">
              <w:rPr>
                <w:rFonts w:ascii="Verdana" w:eastAsia="Times New Roman" w:hAnsi="Verdana"/>
                <w:sz w:val="18"/>
                <w:szCs w:val="18"/>
                <w:lang w:val="en-US"/>
              </w:rPr>
              <w:t>(8):1081-90.</w:t>
            </w:r>
            <w:r w:rsidR="00A16D23" w:rsidRPr="00A16D23">
              <w:rPr>
                <w:rFonts w:ascii="Verdana" w:eastAsia="Times New Roman" w:hAnsi="Verdana"/>
                <w:sz w:val="18"/>
                <w:szCs w:val="18"/>
                <w:lang w:val="en-US"/>
              </w:rPr>
              <w:br/>
            </w:r>
          </w:p>
          <w:p w:rsidR="00A16D23" w:rsidRPr="00DC0C6B" w:rsidRDefault="00A16D23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A16D23" w:rsidRPr="00DC0C6B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Pr="00DC0C6B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Pr="00DC0C6B" w:rsidRDefault="00A16D23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A16D23" w:rsidRPr="00DC0C6B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Pr="00DC0C6B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D23" w:rsidRPr="00DC0C6B" w:rsidRDefault="00A16D23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  <w:tr w:rsidR="00A16D23" w:rsidRPr="00DC0C6B" w:rsidTr="00A16D23">
        <w:trPr>
          <w:tblCellSpacing w:w="37" w:type="dxa"/>
        </w:trPr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D23" w:rsidRPr="00DC0C6B" w:rsidRDefault="00A16D23">
            <w:pPr>
              <w:rPr>
                <w:rFonts w:ascii="Verdana" w:eastAsia="Times New Roman" w:hAnsi="Verdan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D23" w:rsidRPr="00DC0C6B" w:rsidRDefault="00A16D23">
            <w:pPr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</w:p>
        </w:tc>
      </w:tr>
    </w:tbl>
    <w:p w:rsidR="00BE6DF3" w:rsidRPr="00DC0C6B" w:rsidRDefault="00BE6DF3">
      <w:pPr>
        <w:rPr>
          <w:lang w:val="en-US"/>
        </w:rPr>
      </w:pPr>
    </w:p>
    <w:sectPr w:rsidR="00BE6DF3" w:rsidRPr="00DC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3"/>
    <w:rsid w:val="000F55D3"/>
    <w:rsid w:val="00112233"/>
    <w:rsid w:val="00383947"/>
    <w:rsid w:val="00386069"/>
    <w:rsid w:val="004F7232"/>
    <w:rsid w:val="006A59BB"/>
    <w:rsid w:val="00860047"/>
    <w:rsid w:val="00A16D23"/>
    <w:rsid w:val="00B343C3"/>
    <w:rsid w:val="00BE6DF3"/>
    <w:rsid w:val="00D2523B"/>
    <w:rsid w:val="00D6730F"/>
    <w:rsid w:val="00DA27AC"/>
    <w:rsid w:val="00D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164E"/>
  <w15:chartTrackingRefBased/>
  <w15:docId w15:val="{B58726C4-3731-45DF-AA76-0623602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D2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6D23"/>
    <w:rPr>
      <w:rFonts w:ascii="Arial" w:hAnsi="Arial" w:cs="Arial" w:hint="default"/>
      <w:color w:val="214D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chim.Denner@f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Joachim</dc:creator>
  <cp:keywords/>
  <dc:description/>
  <cp:lastModifiedBy>Denner, Joachim</cp:lastModifiedBy>
  <cp:revision>6</cp:revision>
  <dcterms:created xsi:type="dcterms:W3CDTF">2021-07-16T13:49:00Z</dcterms:created>
  <dcterms:modified xsi:type="dcterms:W3CDTF">2021-07-20T08:43:00Z</dcterms:modified>
</cp:coreProperties>
</file>